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tLeas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>
      <w:pPr>
        <w:numPr>
          <w:ilvl w:val="0"/>
          <w:numId w:val="0"/>
        </w:numPr>
        <w:spacing w:line="240" w:lineRule="atLeast"/>
        <w:ind w:firstLine="5751" w:firstLineChars="1302"/>
        <w:jc w:val="both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岗位信息表</w:t>
      </w:r>
    </w:p>
    <w:tbl>
      <w:tblPr>
        <w:tblStyle w:val="4"/>
        <w:tblW w:w="14505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20"/>
        <w:gridCol w:w="1560"/>
        <w:gridCol w:w="885"/>
        <w:gridCol w:w="885"/>
        <w:gridCol w:w="4410"/>
        <w:gridCol w:w="1125"/>
        <w:gridCol w:w="870"/>
        <w:gridCol w:w="90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1501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研究岗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主要从事自然资源发展战略研究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北京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土地资源管理专业120405、环境与资源保护法学030108、城乡规划学0833、区域经济学020202、人口、资源与环境经济学020106、农林经济管理1203、生态学0713、地理学0705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生源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朱老师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010-66560373</w:t>
            </w:r>
          </w:p>
        </w:tc>
      </w:tr>
    </w:tbl>
    <w:p>
      <w:pPr>
        <w:jc w:val="center"/>
        <w:rPr>
          <w:rFonts w:hint="eastAsia" w:ascii="仿宋" w:hAnsi="仿宋" w:eastAsia="仿宋" w:cs="仿宋"/>
          <w:spacing w:val="-1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注：1.上述专业名称参考</w:t>
      </w:r>
      <w:r>
        <w:rPr>
          <w:rFonts w:hint="eastAsia" w:ascii="仿宋" w:hAnsi="仿宋" w:eastAsia="仿宋" w:cs="仿宋"/>
          <w:spacing w:val="-11"/>
          <w:sz w:val="24"/>
          <w:szCs w:val="24"/>
          <w:highlight w:val="none"/>
          <w:lang w:val="en-US" w:eastAsia="zh-CN"/>
        </w:rPr>
        <w:t>《授予博士、硕士学位和培养研究生的学科、专业目录（2008版）》《学位授予和人才培养学科目录（2018版）》；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2.对于所学专业相近，但不在上述参考目录中的，可与用人单位联系，确认报考资格。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E18F2"/>
    <w:rsid w:val="112E18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2023-03-22T08:16:00Z</dcterms:created>
  <dc:creator>hanzhili</dc:creator>
  <cp:lastModifiedBy>hanzhili</cp:lastModifiedBy>
  <dcterms:modified xsi:type="dcterms:W3CDTF">2023-03-22T08:16:50Z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